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Parents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EXPLORATION DES NOUVELLES CARRIÈRES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Votre enfant va d’abord identifier une profession qui leur intéresse.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Dès qu’il ou elle aura identifié une profession, il ou elle remplira la feuille de travail ci-dessous. Votre enfant fera une recherche sur l’internet des informations demandées pour trois professions qui lui intéresse.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#1 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#2 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#3 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