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Jeunesse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APPRENDRE A PROPOS DE NOTRE MAIN D’OEUVRE LOCALE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66666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Tu auras besoin d’un ordinateur ou d’une tablette pour cette activité.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Accéde au lien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https://www.workforcewindsoressex.com/weexplore/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Familiarise toi avec l’outil informatique, et sélectionner une des professions dans une bulle bleue. Les bulles bleues indiquent les professions qui sont présentement demandées dans l’économie régionale de Windsor-Essex.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Liste ci-dessous les informations que tu as appris à propos de la profession que tu as sélectionnée (ex: salaire, compétences requises, etc.)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Lors que tu auras fini, recherche des autres compétences et informations pertinentes à cette carrière sur l’internet, et liste-les ci-dessous.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demandée dans la région Windsor-Essex 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orkforcewindsoressex.com/weexplo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