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  <w:drawing>
          <wp:inline distB="114300" distT="114300" distL="114300" distR="114300">
            <wp:extent cx="3262313" cy="94054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2313" cy="9405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WENav- Enseignant-e-s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8"/>
          <w:szCs w:val="28"/>
          <w:rtl w:val="0"/>
        </w:rPr>
        <w:t xml:space="preserve">APPRENDRE A PROPOS DE NOTRE MAIN D’OEUVRE LOCALE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color w:val="666666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ÉTAPES DE L’ACTIVITÉ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Les étudiants peuvent travailler sur cet activité individuellement ou en paires. Ils auront besoin d’un ordinateur ou une tablette pour cet activité.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Accéder au lien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https://www.workforcewindsoressex.com/weexplore/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Les étudiants feront la sélection d’une profession dans les bulles bleues. Celles-ci sont les professions qui sont présentement demandées dans l’économie régionale de Windsor-Essex.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Les étudiants listerons ci-dessous les informations qu’ils auront appris à propos de la profession sélectionnée (ex: salaire, compétences requises, etc.)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 la fin, les étudiants présenteront l’information à la classe dans le format d’une présentation, un poster, ou une pub.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Profession demandée dans la région Windsor-Essex 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orkforcewindsoressex.com/weexplor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