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262313" cy="9405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940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Demandeur-euse-s d’emploi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APPRENDRE A PROPOS DE NOTRE MAIN D’OEUVRE LOCALE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color w:val="666666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ÉTAPES DE L’ACTIVITÉ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Vous auriez besoin d’un ordinateur ou d’une tablette pour cette activité.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Accéder au lien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https://www.workforcewindsoressex.com/weexplore/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Familiariser vous avec l’outil informatique, et sélectionner une des professions dans une bulle bleue. Les bulles bleues indiquent les professions qui sont présentement demandées dans l’économie régionale de Windsor-Essex.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Listez ci-dessous les informations que vous avez appris à propos de la profession que vous avez sélectionnée (ex: salaire, compétences requises, etc.)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Lors que vous auriez fini, recherchez des autres compétences et informations pertinentes à cette carrière sur l’internet, et listez-les ci-dessous.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Profession demandée dans la région Windsor-Essex 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orkforcewindsoressex.com/weexplor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