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  <w:drawing>
          <wp:inline distB="114300" distT="114300" distL="114300" distR="114300">
            <wp:extent cx="3662744" cy="10525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2744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8"/>
          <w:szCs w:val="28"/>
          <w:rtl w:val="0"/>
        </w:rPr>
        <w:t xml:space="preserve">MAKING AN ACTION PLAN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4"/>
          <w:szCs w:val="24"/>
          <w:rtl w:val="0"/>
        </w:rPr>
        <w:t xml:space="preserve">ACTIVITY STEPS: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b w:val="1"/>
          <w:color w:val="00448b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Using the previous information from the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Learning About the Local Workforce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worksheet, select one job and complete the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Action Plan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below as to how you will get to this career pathway: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Measure of Success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(How do you know if you have completed this goal? What are the signs?)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25"/>
        <w:tblGridChange w:id="0">
          <w:tblGrid>
            <w:gridCol w:w="2340"/>
            <w:gridCol w:w="2340"/>
            <w:gridCol w:w="2340"/>
            <w:gridCol w:w="23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Action Step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Resource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Deadline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Deadline Completed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(Yes, In-Progress, No)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